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Times New Roman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</w:rPr>
        <w:t>附件</w:t>
      </w:r>
      <w:r>
        <w:rPr>
          <w:rFonts w:hint="eastAsia" w:ascii="宋体" w:hAnsi="宋体"/>
          <w:b/>
          <w:color w:val="auto"/>
          <w:szCs w:val="21"/>
          <w:highlight w:val="none"/>
        </w:rPr>
        <w:t>1</w:t>
      </w:r>
      <w:r>
        <w:rPr>
          <w:rFonts w:hint="eastAsia" w:ascii="宋体" w:hAnsi="宋体"/>
          <w:b/>
          <w:color w:val="auto"/>
          <w:szCs w:val="21"/>
          <w:highlight w:val="none"/>
          <w:lang w:eastAsia="zh-CN"/>
        </w:rPr>
        <w:t>：</w:t>
      </w:r>
      <w:r>
        <w:rPr>
          <w:rFonts w:hint="eastAsia" w:ascii="宋体" w:hAnsi="宋体"/>
          <w:b/>
          <w:bCs/>
          <w:color w:val="auto"/>
          <w:szCs w:val="21"/>
        </w:rPr>
        <w:t>中铁电气化局集团有限公司第二工程分公司梅龙强电集成项目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低压电缆</w:t>
      </w:r>
      <w:r>
        <w:rPr>
          <w:rFonts w:hint="eastAsia" w:ascii="宋体" w:hAnsi="宋体"/>
          <w:b/>
          <w:bCs/>
          <w:color w:val="auto"/>
          <w:szCs w:val="21"/>
        </w:rPr>
        <w:t>采购包件一览表</w:t>
      </w:r>
      <w:r>
        <w:rPr>
          <w:rFonts w:hint="eastAsia" w:ascii="宋体" w:hAnsi="宋体"/>
          <w:color w:val="auto"/>
          <w:highlight w:val="none"/>
        </w:rPr>
        <w:t xml:space="preserve">                  </w:t>
      </w:r>
      <w:r>
        <w:rPr>
          <w:rFonts w:hint="eastAsia" w:ascii="宋体" w:hAnsi="宋体" w:eastAsia="宋体" w:cs="Times New Roman"/>
          <w:b/>
          <w:bCs/>
          <w:color w:val="auto"/>
          <w:szCs w:val="21"/>
          <w:lang w:val="en-US" w:eastAsia="zh-CN"/>
        </w:rPr>
        <w:t xml:space="preserve"> 招标编号：EEBW2023-009</w:t>
      </w:r>
    </w:p>
    <w:tbl>
      <w:tblPr>
        <w:tblStyle w:val="5"/>
        <w:tblW w:w="14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068"/>
        <w:gridCol w:w="1853"/>
        <w:gridCol w:w="1954"/>
        <w:gridCol w:w="1659"/>
        <w:gridCol w:w="700"/>
        <w:gridCol w:w="700"/>
        <w:gridCol w:w="962"/>
        <w:gridCol w:w="3738"/>
        <w:gridCol w:w="750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06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包件号</w:t>
            </w: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物资设备名称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规格型号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材质及技术要求条件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计量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单位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962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交货时间</w:t>
            </w:r>
          </w:p>
        </w:tc>
        <w:tc>
          <w:tcPr>
            <w:tcW w:w="3738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投标人专项资格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条件</w:t>
            </w:r>
          </w:p>
        </w:tc>
        <w:tc>
          <w:tcPr>
            <w:tcW w:w="7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标书售价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8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ML-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JCW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低压电缆</w:t>
            </w: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VV-1*70mm²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19615</w:t>
            </w:r>
          </w:p>
        </w:tc>
        <w:tc>
          <w:tcPr>
            <w:tcW w:w="962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2023年2月28日陆续交货</w:t>
            </w:r>
          </w:p>
        </w:tc>
        <w:tc>
          <w:tcPr>
            <w:tcW w:w="3738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1.在中华人民共和国境内依法注册、具有法人资格的制造商；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2.制造商需具有投标物资的《全国工业产品生产许可证》；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3.投标物资须具有通过CMA或CNAS认证的检测机构出具的近三年（自2020年1月1日以来）相同电压等级和同类铠装、防护形式、同种导体材质的产品质量检验报告（带有CMA或CNAS标识）；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.投标物资同类产品须具有近五年（自2018年1月1日以来，以合同签订日期为准）铁路或国家电网、南方电网的供货业绩，开通运行一年（含）以上，提供由铁路局（集团公司）主管部门或电力公司主管部门出具的运行业绩证明文件（加盖公章），并出具相应的购售合同影印件；</w:t>
            </w:r>
          </w:p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5.不接受代理商和联合体投标。</w:t>
            </w:r>
          </w:p>
        </w:tc>
        <w:tc>
          <w:tcPr>
            <w:tcW w:w="75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1500元</w:t>
            </w:r>
          </w:p>
        </w:tc>
        <w:tc>
          <w:tcPr>
            <w:tcW w:w="64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YJV- 1kV-1*150mm²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15160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YJV- 1kV-1*185mm²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38794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ML-DL-17低压电缆</w:t>
            </w: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VV22-0.6/1KV 2*10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8150 </w:t>
            </w:r>
          </w:p>
        </w:tc>
        <w:tc>
          <w:tcPr>
            <w:tcW w:w="962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2023年2月28日陆续交货</w:t>
            </w:r>
          </w:p>
        </w:tc>
        <w:tc>
          <w:tcPr>
            <w:tcW w:w="3738" w:type="dxa"/>
            <w:vMerge w:val="restart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1.在中华人民共和国境内依法注册、具有法人资格的制造商；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2.制造商需具有投标物资的《全国工业产品生产许可证》；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3.投标物资须具有通过CMA或CNAS认证的检测机构出具的近三年（自2020年1月1日以来）相同电压等级和同类铠装、防护形式、同种导体材质的产品质量检验报告（带有CMA或CNAS标识）；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4.投标物资同类产品须具有近五年（自2018年1月1日以来，以合同签订日期为准）铁路或国家电网、南方电网的供货业绩，开通运行一年（含）以上，提供由铁路局（集团公司）主管部门或电力公司主管部门出具的运行业绩证明文件（加盖公章），并出具相应的购售合同影印件；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5.不接受代理商和联合体投标。</w:t>
            </w:r>
          </w:p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2000元</w:t>
            </w: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VV22-0.6/1kV-3*25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VV22-0.6/1KV 4*10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VV22-0.6/1KV 4*16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VV22-0.6/1kV 4*25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VV22-0.6/1KV 3*35+1*16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2860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VV22-1kV-3*50+1*25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VV22-0.6/1KV 3*70+1*35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VV22-0.6/1KV 3*120+1*70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VV22-0.6/1KV 3*150+1*70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VV22-0.6/1KV 3*185+1*95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VV22-0.6/1KV 3*240+1*120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2910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ZR-VV22-0.6/1kV 2*6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ZR-VV-0.6/1kV 3*4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ZR-VV22-0.6/1kV-3*16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66380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ZR-VV-0.6/1kV 3*16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ZR-VV22-1kV-3*35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ZR-VV-0.6/1kV 5*6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ZR-VV-0.6/1kV 5*10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ZR-VV-0.6/1kV 5*25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ZR-VV-0.6/1kV 4*120+1*70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交流屏至ALZ配电箱电源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ZB-YJY23-0.6/1,4*25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30650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ZB-YJY23-0.6/1 5*6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18910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ZB-YJY23-0.6/1,5*10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WDZ-YJY-1kV-3*6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WDZBN-YJY23,3x16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WDZBN-YJY23-0.6/1 4*25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17880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WDZBN-YJY23-0.6/1 5*6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14470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WDZBN-YJY23-0.6/1 5*10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WDZBN-YJY-4*70+1*35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交，直流屏电源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WDZBN-YJY23,4x70+1x35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WDZBN-YJY-4*95+1*50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交，直流屏电源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WDZBN-YJY23,4x150+1x95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KVVP22-0.5kV-5*2.5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WDZ-KYJY23 450/750V 4*1.5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2210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WDZBN-KYJY23-4*1.5mm2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45620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WDZ-KYJY23 450/750V 4*2.5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2210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WDZBN-KYJY23-10*1.5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WDZBN-KYJY23-0.6/1,12X1.5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WDZBN-KYJY23-0.6/1,16*2.5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1850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WDZ-KYJY23 450/750V 19*1.5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2210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ZB-KVV-5*4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二次及远动电缆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ZB-KVVP-7*1.5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二次及远动电缆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ZB-KVVP-7*2.5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二次及远动电缆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ZB-KVVP-10*1.5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二次及远动电缆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ZB-KVVP-19*1.5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二次及远动电缆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ZBN-RYJ-750-16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WDZBN-RJY-750-16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VV-0.6/1kV 25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345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ZR-VV-1kV-1*50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ZR-VV-0.6/1kV 1*150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所用变、高压柜、室外负荷开关箱接地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ZB-YJV-0.6/1kv  1*120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小电阻至接地端子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WDZBN-YJY-1*120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接地干线、变压器中性点接地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WDZBN-YJY-1*240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接地干线、变压器中性点接地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VV-0.6/1kV-1*150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满足技术规格书及现行国家标准要求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塑料多股软铜线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BVR-2.5mm²黄绿相间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塑料多股软铜线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BVR-4mm²黄绿相间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塑料多股软铜线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BVR-16mm²黄绿相间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塑料多股软铜线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BVR-25mm²黄绿相间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ZB-VV22-0.6/1kV-2*6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WDZB-KYJYP23-2×10mm²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网开关电缆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65900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WDZB-YJY23 4*10mm2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网开关电缆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65900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WDZB-KYJYP23-5×2.5mm²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网开关电缆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65900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WDZB-KYJYP23-6×2.5mm²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网开关电缆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65900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ZA-YJYP23-0.6/1kV 2*4mm2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4520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ZA-YJYP23-0.6/1kV 2*6mm2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5520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ZA-YJYP23-0.6/1kV 2*10mm2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3010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低压电缆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ZA-YJY23-1kV 4×70+1×35mm²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ZA-KYJYP23-0.6/1kV 4*4mm2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ZA-KYJYP23-0.6/1kV 4*6mm2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2280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ZA-KYJYP23-0.6/1kV 4*1.5mm2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3230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ZA-KYJYP23-0.6/1kV 4*2.5mm2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4120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ZA-KYJYP23-0.6/1kV 8*2.5mm2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3810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ZA-KYJYP23-0.6/1kV 10*1.5mm2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3980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ZA-KYJYP23-0.6/1kV 14*2.5mm2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2610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ZA-KYJYP23-0.6/1kV 14*1.5mm2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5170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ZA-KYJYP23-0.6/1kV 19*1.5mm2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3110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WDZB-YJY73-1KV 1*50m2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7320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WDZB-YJV73 1kV-1X150mm²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7590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ZR-VV22-1KV 2*6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ZR-VV-5*4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kvv22 4*15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605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电力电缆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WDZBN-YJY- 5*16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275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导线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ZB-BV 4mm2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6644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导线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ZB-BV 2.5mm2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6853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导线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ZB-BV 6mm2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4884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9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68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导线</w:t>
            </w:r>
          </w:p>
        </w:tc>
        <w:tc>
          <w:tcPr>
            <w:tcW w:w="195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WDZBN-BYJ4mm2</w:t>
            </w:r>
          </w:p>
        </w:tc>
        <w:tc>
          <w:tcPr>
            <w:tcW w:w="165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0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962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38" w:type="dxa"/>
            <w:vMerge w:val="continue"/>
            <w:shd w:val="clear" w:color="000000" w:fill="FFFFFF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房建</w:t>
            </w:r>
          </w:p>
        </w:tc>
      </w:tr>
    </w:tbl>
    <w:p>
      <w:pPr>
        <w:ind w:firstLine="42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说明：以上规格型号数量是施工图数量，最终供货规格型号数量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以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采购人发货通知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单为准。</w:t>
      </w:r>
    </w:p>
    <w:p>
      <w:pPr>
        <w:ind w:firstLine="420"/>
        <w:jc w:val="right"/>
        <w:rPr>
          <w:rFonts w:ascii="宋体" w:hAnsi="宋体"/>
          <w:color w:val="auto"/>
          <w:szCs w:val="21"/>
        </w:rPr>
        <w:sectPr>
          <w:pgSz w:w="16838" w:h="11906" w:orient="landscape"/>
          <w:pgMar w:top="1083" w:right="1440" w:bottom="1083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eastAsia="宋体"/>
          <w:b/>
          <w:color w:val="auto"/>
          <w:highlight w:val="none"/>
          <w:lang w:eastAsia="zh-CN"/>
        </w:rPr>
      </w:pPr>
      <w:bookmarkStart w:id="0" w:name="_Toc450287122"/>
      <w:bookmarkStart w:id="1" w:name="_Toc484687438"/>
      <w:bookmarkStart w:id="2" w:name="_Toc7424"/>
      <w:r>
        <w:rPr>
          <w:rFonts w:hint="eastAsia"/>
          <w:b/>
          <w:color w:val="auto"/>
        </w:rPr>
        <w:t>附</w:t>
      </w:r>
      <w:r>
        <w:rPr>
          <w:rFonts w:hint="eastAsia"/>
          <w:b/>
          <w:color w:val="auto"/>
          <w:highlight w:val="none"/>
        </w:rPr>
        <w:t>件</w:t>
      </w:r>
      <w:r>
        <w:rPr>
          <w:b/>
          <w:color w:val="auto"/>
          <w:highlight w:val="none"/>
        </w:rPr>
        <w:t>2</w:t>
      </w:r>
      <w:bookmarkEnd w:id="0"/>
      <w:bookmarkEnd w:id="1"/>
      <w:bookmarkEnd w:id="2"/>
      <w:r>
        <w:rPr>
          <w:rFonts w:hint="eastAsia"/>
          <w:b/>
          <w:color w:val="auto"/>
          <w:highlight w:val="none"/>
          <w:lang w:eastAsia="zh-CN"/>
        </w:rPr>
        <w:t>：</w:t>
      </w:r>
    </w:p>
    <w:p>
      <w:pPr>
        <w:spacing w:line="440" w:lineRule="exact"/>
        <w:jc w:val="center"/>
        <w:rPr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投标申请表</w:t>
      </w:r>
    </w:p>
    <w:p>
      <w:pPr>
        <w:jc w:val="right"/>
        <w:rPr>
          <w:rFonts w:ascii="宋体"/>
          <w:b/>
          <w:color w:val="auto"/>
          <w:sz w:val="18"/>
          <w:szCs w:val="18"/>
          <w:highlight w:val="none"/>
        </w:rPr>
      </w:pPr>
      <w:r>
        <w:rPr>
          <w:b/>
          <w:color w:val="auto"/>
          <w:sz w:val="15"/>
          <w:szCs w:val="15"/>
          <w:highlight w:val="none"/>
        </w:rPr>
        <w:t xml:space="preserve">   </w:t>
      </w:r>
      <w:r>
        <w:rPr>
          <w:rFonts w:ascii="宋体" w:hAnsi="宋体"/>
          <w:b/>
          <w:color w:val="auto"/>
          <w:sz w:val="18"/>
          <w:szCs w:val="18"/>
          <w:highlight w:val="none"/>
        </w:rPr>
        <w:t xml:space="preserve"> </w:t>
      </w:r>
    </w:p>
    <w:tbl>
      <w:tblPr>
        <w:tblStyle w:val="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413"/>
        <w:gridCol w:w="1418"/>
        <w:gridCol w:w="26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申请单位</w:t>
            </w:r>
          </w:p>
        </w:tc>
        <w:tc>
          <w:tcPr>
            <w:tcW w:w="6502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投标项目名称</w:t>
            </w:r>
          </w:p>
        </w:tc>
        <w:tc>
          <w:tcPr>
            <w:tcW w:w="650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投标联系人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联系人手机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固定电话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招标编号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注册资金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申请单位地址</w:t>
            </w:r>
          </w:p>
        </w:tc>
        <w:tc>
          <w:tcPr>
            <w:tcW w:w="650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1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生产厂名称（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适用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代理商投标）</w:t>
            </w:r>
          </w:p>
        </w:tc>
        <w:tc>
          <w:tcPr>
            <w:tcW w:w="6502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8645" w:type="dxa"/>
            <w:gridSpan w:val="4"/>
            <w:noWrap w:val="0"/>
            <w:vAlign w:val="top"/>
          </w:tcPr>
          <w:p>
            <w:pPr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申请投标范围：（注明拟投标包件号和物资名称）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ind w:firstLine="5682" w:firstLineChars="2695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645" w:type="dxa"/>
            <w:gridSpan w:val="4"/>
            <w:tcBorders>
              <w:bottom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投标人开票信息</w:t>
            </w:r>
          </w:p>
          <w:p>
            <w:pPr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单位名称：</w:t>
            </w:r>
          </w:p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纳税人识别号：</w:t>
            </w:r>
          </w:p>
          <w:p>
            <w:pPr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地址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电话：</w:t>
            </w:r>
          </w:p>
          <w:p>
            <w:pPr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开户行及账号：</w:t>
            </w:r>
          </w:p>
          <w:p>
            <w:pPr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开户行联行号：</w:t>
            </w:r>
          </w:p>
          <w:p>
            <w:pPr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专用</w:t>
            </w:r>
            <w:r>
              <w:rPr>
                <w:rFonts w:ascii="宋体" w:hAnsi="宋体" w:cs="宋体"/>
                <w:b/>
                <w:color w:val="auto"/>
                <w:szCs w:val="21"/>
              </w:rPr>
              <w:t>发票邮寄地址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：</w:t>
            </w:r>
          </w:p>
          <w:p>
            <w:pPr>
              <w:ind w:firstLine="5483" w:firstLineChars="2601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申请单位（章）</w:t>
            </w:r>
          </w:p>
          <w:p>
            <w:pPr>
              <w:ind w:firstLine="5781" w:firstLineChars="2742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年</w:t>
            </w:r>
            <w:r>
              <w:rPr>
                <w:b/>
                <w:color w:val="auto"/>
                <w:szCs w:val="21"/>
              </w:rPr>
              <w:t xml:space="preserve">  </w:t>
            </w:r>
            <w:r>
              <w:rPr>
                <w:rFonts w:hint="eastAsia"/>
                <w:b/>
                <w:color w:val="auto"/>
                <w:szCs w:val="21"/>
              </w:rPr>
              <w:t>月</w:t>
            </w:r>
            <w:r>
              <w:rPr>
                <w:b/>
                <w:color w:val="auto"/>
                <w:szCs w:val="21"/>
              </w:rPr>
              <w:t xml:space="preserve">  </w:t>
            </w:r>
            <w:r>
              <w:rPr>
                <w:rFonts w:hint="eastAsia"/>
                <w:b/>
                <w:color w:val="auto"/>
                <w:szCs w:val="21"/>
              </w:rPr>
              <w:t>日</w:t>
            </w:r>
          </w:p>
        </w:tc>
      </w:tr>
    </w:tbl>
    <w:p>
      <w:pPr>
        <w:ind w:left="1339" w:leftChars="195" w:hanging="930" w:hangingChars="441"/>
        <w:jc w:val="left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</w:rPr>
        <w:t>备注：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1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标书款发票采用电子发票形式，开具后发送至本申请表提供的邮箱内并短信通知，</w:t>
      </w:r>
    </w:p>
    <w:p>
      <w:pPr>
        <w:ind w:left="1325" w:leftChars="631"/>
        <w:jc w:val="left"/>
        <w:rPr>
          <w:rFonts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请确保本申请表提供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电子邮箱及电话的准确性。</w:t>
      </w:r>
    </w:p>
    <w:p>
      <w:pPr>
        <w:ind w:firstLine="1033" w:firstLineChars="490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2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.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退还投标保证金需填</w:t>
      </w:r>
      <w:r>
        <w:rPr>
          <w:rFonts w:hint="eastAsia"/>
          <w:b/>
          <w:color w:val="auto"/>
          <w:szCs w:val="21"/>
          <w:highlight w:val="none"/>
        </w:rPr>
        <w:t>写开户行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联行号，请准确填写。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ZWE0NWYzZTRiZjZmYjM2YTczOTkyNWRkMTQ1MTYifQ=="/>
  </w:docVars>
  <w:rsids>
    <w:rsidRoot w:val="0D4E09BD"/>
    <w:rsid w:val="0D4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3"/>
    <w:next w:val="3"/>
    <w:qFormat/>
    <w:uiPriority w:val="99"/>
    <w:pPr>
      <w:keepNext/>
      <w:keepLines/>
      <w:outlineLvl w:val="2"/>
    </w:pPr>
    <w:rPr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标书正文"/>
    <w:basedOn w:val="1"/>
    <w:qFormat/>
    <w:uiPriority w:val="0"/>
    <w:pPr>
      <w:spacing w:line="360" w:lineRule="auto"/>
      <w:ind w:firstLine="480" w:firstLineChars="200"/>
    </w:pPr>
    <w:rPr>
      <w:rFonts w:ascii="Arial" w:hAnsi="Arial" w:cs="Times New Roman"/>
      <w:color w:val="000000"/>
      <w:sz w:val="24"/>
      <w:szCs w:val="21"/>
      <w:lang w:val="en-GB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2023-01-16T00:35:00Z</dcterms:created>
  <dc:creator>小牙</dc:creator>
  <cp:lastModifiedBy>小牙</cp:lastModifiedBy>
  <dcterms:modified xsi:type="dcterms:W3CDTF">2023-01-16T00:35:57Z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7DD8612E18E245319BF29F8DF37BA391</vt:lpwstr>
  </property>
</Properties>
</file>